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25EX30769</RECORD_ID>
  <DESCR>PENTAX - PINCES DE SUBJECCIÓ, DISSECTORS, TISORES I MÀNECS</DESCR>
  <SUPPLIER>
    <CORPORATENAME/>
    <ADDRESS/>
    <TOWN/>
    <POSTCODE/>
    <TAXIDENTIFICATION/>
    <TELEPHONE/>
    <TELEFAX/>
    <EMAIL/>
  </SUPPLIER>
  <BATCHES>
    <BATCH>
      <BATCHID>GR01</BATCHID>
      <DESCR>PUNTES D'UN SOL ÚS I REUTILITZ.</DESCR>
      <MATERIALS>
        <MATERIAL>
          <MATNR>10007</MATNR>
          <MAKTX>TERMINALES (GRASPERS / DISECTORES) REUTILIZABLES. VARIOS MODELOS. PARA TRÓCAR DE 5MM. CONECTADA A LOS MANGOS PUEDEN SER UTILIZADAS COMO ELECTRODO MONOPOLAR CON UN ELECTROBISTURÍ. LIBRE DE LÁTEX.</MAKTX>
          <QUANTITY>94</QUANTITY>
          <UNIT>unidad</UNIT>
          <REFERENCE/>
          <PACKAGING_UNITS/>
          <TRADEMARK/>
          <NAME/>
          <TECHTEXT> </TECHTEXT>
        </MATERIAL>
        <MATERIAL>
          <MATNR>100005783</MATNR>
          <MAKTX>TIJERA CURVA CON PUNTA ROMA, PARA TRÓCAR DE 5MM. DESECHABLE. CONECTADA A LOS MANGOS PUEDE SER UTILIZADA COMO ELECTRODO MONOPOLAR CON UN ELECTROBISTURÍ. LIBRE DE LÁTEX.</MAKTX>
          <QUANTITY>2.246</QUANTITY>
          <UNIT>unidad</UNIT>
          <REFERENCE/>
          <PACKAGING_UNITS/>
          <TRADEMARK/>
          <NAME/>
          <TECHTEXT> </TECHTEXT>
        </MATERIAL>
        <MATERIAL>
          <MATNR>100005785</MATNR>
          <MAKTX>TERMINAL PINZA DE AGARRE SÚPER ATRAUMÁTICA CON PUNTA ROMA FENESTRADA. PALAS INTERIORES RECUBIERTAS DE POLÍMERO DE GOMA. PARA TRÓCAR DE 5MM, ESTÉRIL, DESECHABLE. LIBRE DE LÁTEX.</MAKTX>
          <QUANTITY>108</QUANTITY>
          <UNIT>unidad</UNIT>
          <REFERENCE/>
          <PACKAGING_UNITS/>
          <TRADEMARK/>
          <NAME/>
          <TECHTEXT> </TECHTEXT>
        </MATERIAL>
        <MATERIAL>
          <MATNR>100005786</MATNR>
          <MAKTX>TIJERA RECTA TIPO "DELICATE METZEMBAUM", PARA TRÓCAR DE 5MM. DESECHABLE. CONECTADA A LOS MANGOS PUEDE SER UTILIZADA COMO ELECTRODO MONOPOLAR CON UN ELECTROBISTURÍ. LIBRE DE LÁTEX.</MAKTX>
          <QUANTITY>36</QUANTITY>
          <UNIT>unidad</UNIT>
          <REFERENCE/>
          <PACKAGING_UNITS/>
          <TRADEMARK/>
          <NAME/>
          <TECHTEXT> </TECHTEXT>
        </MATERIAL>
        <MATERIAL>
          <MATNR>100006015</MATNR>
          <MAKTX>MANGO MONOPOLAR DE UNA PIEZA SIS CREMALLERA PARA TRÓCAR DE 5 MM, REUTILIZABLE. LONGITUD DEL MANGO ERGONÓMICO 34 CM. ROTACIÓN DEL VÁSTAGO DE 360°. LIBRE DE LÁTEX.</MAKTX>
          <QUANTITY>34</QUANTITY>
          <UNIT>unidad</UNIT>
          <REFERENCE/>
          <PACKAGING_UNITS/>
          <TRADEMARK/>
          <NAME/>
          <TECHTEXT> </TECHTEXT>
        </MATERIAL>
        <MATERIAL>
          <MATNR>100006066</MATNR>
          <MAKTX>MANGO MONOPOLAR DE UNA PIEZA CON CREMALLERA PARA TRÓCAR DE 5 MM. REUTILIZABLE. LONGITUD DEL MANGO ERGONÓMICO: 34 CM. ROTACIÓN DEL VÁSTAGO DE 360º. LIBRE DE LÁTEX.</MAKTX>
          <QUANTITY>17</QUANTITY>
          <UNIT>unidad</UNIT>
          <REFERENCE/>
          <PACKAGING_UNITS/>
          <TRADEMARK/>
          <NAME/>
          <TECHTEXT> </TECHTEXT>
        </MATERIAL>
        <MATERIAL>
          <MATNR>100006150</MATNR>
          <MAKTX>MANGO MONOPOLAR DE UNA PIEZA CON CREMALLERA PARA TRÓCAR DE 5 MM. REUTILIZABLE. LONGITUD DEL MANGO ERGONÓMICO: 42 CM. ROTACIÓN DL VÁSTAGO DE 360º. LIBRE DE LÁTEX.</MAKTX>
          <QUANTITY>1</QUANTITY>
          <UNIT>unidad</UNIT>
          <REFERENCE/>
          <PACKAGING_UNITS/>
          <TRADEMARK/>
          <NAME/>
          <TECHTEXT> </TECHTEXT>
        </MATERIAL>
        <MATERIAL>
          <MATNR>100026561</MATNR>
          <MAKTX>MANGO MONOPOLAR DE UNA PIEZA SIN CREMALLERA. PARA TRÓCAR DE 5 MM. REUTILIZABLE. LONGITUD DEL MANGO ERGONÓMICO: 42 CM. ROTACIÓN DEL VÁSTAGO DE 360°. LIBRE DE LÁTEX.</MAKTX>
          <QUANTITY>1</QUANTITY>
          <UNIT>unidad</UNIT>
          <REFERENCE/>
          <PACKAGING_UNITS/>
          <TRADEMARK/>
          <NAME/>
          <TECHTEXT> </TECHTEXT>
        </MATERIAL>
        <MATERIAL>
          <MATNR>100036455</MATNR>
          <MAKTX>CAJA TERMINALES. BANDEJA CON TAPA PARA ESTERILIZACIÓN. REUTILIZABLE. PARA COLOCAR LOS TERMINALES REUTILIZABLES DETALLADOS EN AQUEST LOT (DENTRO DEL CÓDIGO MACRO).
*************
TODO EL MATERIAL QUE SE OFREZCA TIENE QUE SER COMPATIBLE CON LOS MANGOS QUE TENEMOS EN PROPIEDAD AL HOSPITAL Y, POR LO TANTO, TAMBIÉN CON LOS MANGOS QUE ES PRESENTEN EN ESTE LOTE.</MAKTX>
          <QUANTITY>3</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FA5-1EEF-BBA2-531926914039}">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